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B1BD0" w14:textId="77777777" w:rsidR="0067402A" w:rsidRPr="00DC6609" w:rsidRDefault="0067402A" w:rsidP="00630C56">
      <w:pPr>
        <w:pStyle w:val="Titolo1"/>
        <w:jc w:val="center"/>
        <w:rPr>
          <w:color w:val="000000"/>
          <w:sz w:val="34"/>
          <w:szCs w:val="34"/>
        </w:rPr>
      </w:pPr>
      <w:r w:rsidRPr="00DC6609">
        <w:rPr>
          <w:color w:val="000000"/>
          <w:sz w:val="34"/>
          <w:szCs w:val="34"/>
        </w:rPr>
        <w:t>ALMA MATER STUDIORUM - UNIVERSITA’ DI BOLOGNA</w:t>
      </w:r>
    </w:p>
    <w:p w14:paraId="7C06B3CE" w14:textId="77777777" w:rsidR="0067402A" w:rsidRPr="00DC6609" w:rsidRDefault="0067402A" w:rsidP="00630C56">
      <w:pPr>
        <w:jc w:val="center"/>
        <w:rPr>
          <w:b/>
          <w:bCs/>
          <w:color w:val="000000"/>
        </w:rPr>
      </w:pPr>
    </w:p>
    <w:p w14:paraId="7DF80A25" w14:textId="77777777" w:rsidR="00DD6AA5" w:rsidRDefault="0067402A" w:rsidP="00630C56">
      <w:pPr>
        <w:pStyle w:val="Titolo2"/>
        <w:jc w:val="center"/>
        <w:rPr>
          <w:color w:val="000000"/>
          <w:sz w:val="32"/>
        </w:rPr>
      </w:pPr>
      <w:r w:rsidRPr="00DC6609">
        <w:rPr>
          <w:color w:val="000000"/>
          <w:sz w:val="32"/>
        </w:rPr>
        <w:t xml:space="preserve">SCUOLA DI FARMACIA, </w:t>
      </w:r>
    </w:p>
    <w:p w14:paraId="282CDD59" w14:textId="2FAA3031" w:rsidR="0067402A" w:rsidRPr="00DC6609" w:rsidRDefault="0067402A" w:rsidP="00630C56">
      <w:pPr>
        <w:pStyle w:val="Titolo2"/>
        <w:jc w:val="center"/>
        <w:rPr>
          <w:i/>
          <w:iCs/>
          <w:color w:val="000000"/>
          <w:sz w:val="32"/>
        </w:rPr>
      </w:pPr>
      <w:r w:rsidRPr="00DC6609">
        <w:rPr>
          <w:color w:val="000000"/>
          <w:sz w:val="32"/>
        </w:rPr>
        <w:t>BIOTECNOLOGIE E SCIENZE MOTORIE</w:t>
      </w:r>
    </w:p>
    <w:p w14:paraId="5C346E61" w14:textId="77777777" w:rsidR="0067402A" w:rsidRPr="00DC6609" w:rsidRDefault="0067402A" w:rsidP="00630C56">
      <w:pPr>
        <w:jc w:val="center"/>
        <w:rPr>
          <w:color w:val="000000"/>
        </w:rPr>
      </w:pPr>
    </w:p>
    <w:p w14:paraId="173EB064" w14:textId="77E063C7" w:rsidR="006D7894" w:rsidRDefault="0067402A" w:rsidP="00630C56">
      <w:pPr>
        <w:pStyle w:val="Titolo3"/>
        <w:jc w:val="center"/>
        <w:rPr>
          <w:sz w:val="28"/>
          <w:szCs w:val="28"/>
        </w:rPr>
      </w:pPr>
      <w:r w:rsidRPr="0019570E">
        <w:rPr>
          <w:sz w:val="28"/>
          <w:szCs w:val="28"/>
        </w:rPr>
        <w:t xml:space="preserve">CORSO DI LAUREA IN SCIENZE FARMACEUTICHE APPLICATE </w:t>
      </w:r>
    </w:p>
    <w:p w14:paraId="627B7147" w14:textId="5B01A19A" w:rsidR="0067402A" w:rsidRPr="00DD6AA5" w:rsidRDefault="0067402A" w:rsidP="00630C56">
      <w:pPr>
        <w:pStyle w:val="Titolo3"/>
        <w:jc w:val="center"/>
        <w:rPr>
          <w:i/>
          <w:sz w:val="28"/>
          <w:szCs w:val="28"/>
        </w:rPr>
      </w:pPr>
      <w:r w:rsidRPr="00DD6AA5">
        <w:rPr>
          <w:i/>
          <w:sz w:val="28"/>
          <w:szCs w:val="28"/>
        </w:rPr>
        <w:t>INFORMAZIONE SCIENTIFICA SUL FARMACO</w:t>
      </w:r>
    </w:p>
    <w:p w14:paraId="34B59C2B" w14:textId="77777777" w:rsidR="0067402A" w:rsidRPr="0019570E" w:rsidRDefault="0067402A" w:rsidP="00630C56">
      <w:pPr>
        <w:jc w:val="center"/>
      </w:pPr>
    </w:p>
    <w:p w14:paraId="3634DC43" w14:textId="77777777" w:rsidR="0067402A" w:rsidRPr="0019570E" w:rsidRDefault="0067402A" w:rsidP="00630C56">
      <w:pPr>
        <w:jc w:val="center"/>
      </w:pPr>
    </w:p>
    <w:p w14:paraId="24F2CA7C" w14:textId="77777777" w:rsidR="0067402A" w:rsidRPr="0019570E" w:rsidRDefault="0067402A" w:rsidP="00630C56">
      <w:pPr>
        <w:jc w:val="center"/>
        <w:rPr>
          <w:b/>
          <w:sz w:val="40"/>
          <w:szCs w:val="40"/>
        </w:rPr>
      </w:pPr>
    </w:p>
    <w:p w14:paraId="114ED037" w14:textId="77777777" w:rsidR="0067402A" w:rsidRPr="0019570E" w:rsidRDefault="0067402A" w:rsidP="00630C56">
      <w:pPr>
        <w:jc w:val="center"/>
        <w:rPr>
          <w:b/>
          <w:sz w:val="40"/>
          <w:szCs w:val="40"/>
        </w:rPr>
      </w:pPr>
    </w:p>
    <w:p w14:paraId="1796874E" w14:textId="77777777" w:rsidR="0067402A" w:rsidRPr="0019570E" w:rsidRDefault="0067402A" w:rsidP="00630C56">
      <w:pPr>
        <w:jc w:val="center"/>
        <w:rPr>
          <w:b/>
          <w:sz w:val="40"/>
          <w:szCs w:val="40"/>
        </w:rPr>
      </w:pPr>
    </w:p>
    <w:p w14:paraId="04D16D18" w14:textId="77777777" w:rsidR="0067402A" w:rsidRPr="0019570E" w:rsidRDefault="0067402A" w:rsidP="00630C56">
      <w:pPr>
        <w:jc w:val="center"/>
        <w:rPr>
          <w:b/>
          <w:sz w:val="40"/>
          <w:szCs w:val="40"/>
        </w:rPr>
      </w:pPr>
      <w:r w:rsidRPr="0019570E">
        <w:rPr>
          <w:b/>
          <w:sz w:val="40"/>
          <w:szCs w:val="40"/>
        </w:rPr>
        <w:t>Analisi delle discrepanze tra gli Enti Regolatori Internazionali nel processo d’approvazione del farmaco: le basi per il raggiungimento di un’armonizzazione globale</w:t>
      </w:r>
    </w:p>
    <w:p w14:paraId="7152D635" w14:textId="77777777" w:rsidR="0067402A" w:rsidRPr="0019570E" w:rsidRDefault="0067402A" w:rsidP="00272DA4">
      <w:pPr>
        <w:pStyle w:val="Corpodeltesto"/>
        <w:jc w:val="both"/>
        <w:rPr>
          <w:sz w:val="44"/>
          <w:szCs w:val="44"/>
          <w:lang w:eastAsia="zh-TW"/>
        </w:rPr>
      </w:pPr>
    </w:p>
    <w:p w14:paraId="11F09AB4" w14:textId="77777777" w:rsidR="0067402A" w:rsidRPr="0019570E" w:rsidRDefault="0067402A" w:rsidP="00272DA4">
      <w:pPr>
        <w:pStyle w:val="Corpodeltesto"/>
        <w:jc w:val="both"/>
        <w:rPr>
          <w:sz w:val="27"/>
          <w:szCs w:val="27"/>
          <w:lang w:eastAsia="zh-TW"/>
        </w:rPr>
      </w:pPr>
    </w:p>
    <w:p w14:paraId="566BB126" w14:textId="77777777" w:rsidR="0067402A" w:rsidRPr="0019570E" w:rsidRDefault="0067402A" w:rsidP="00272DA4">
      <w:pPr>
        <w:pStyle w:val="Corpodeltesto"/>
        <w:jc w:val="both"/>
        <w:rPr>
          <w:sz w:val="27"/>
          <w:szCs w:val="27"/>
          <w:lang w:eastAsia="zh-TW"/>
        </w:rPr>
      </w:pPr>
    </w:p>
    <w:p w14:paraId="7C77DCC3" w14:textId="77777777" w:rsidR="0067402A" w:rsidRPr="0019570E" w:rsidRDefault="0067402A" w:rsidP="00272DA4">
      <w:pPr>
        <w:pStyle w:val="Corpodeltesto"/>
        <w:jc w:val="both"/>
        <w:rPr>
          <w:sz w:val="27"/>
          <w:szCs w:val="27"/>
          <w:lang w:eastAsia="zh-TW"/>
        </w:rPr>
      </w:pPr>
    </w:p>
    <w:p w14:paraId="1D5D1C81" w14:textId="77777777" w:rsidR="0067402A" w:rsidRPr="0019570E" w:rsidRDefault="0067402A" w:rsidP="00272DA4">
      <w:pPr>
        <w:pStyle w:val="Corpodeltesto"/>
        <w:jc w:val="both"/>
        <w:rPr>
          <w:sz w:val="27"/>
          <w:szCs w:val="27"/>
          <w:lang w:eastAsia="zh-TW"/>
        </w:rPr>
      </w:pPr>
    </w:p>
    <w:p w14:paraId="181B377D" w14:textId="77777777" w:rsidR="0067402A" w:rsidRPr="0019570E" w:rsidRDefault="0067402A" w:rsidP="00272DA4">
      <w:pPr>
        <w:pStyle w:val="Corpodeltesto"/>
        <w:jc w:val="both"/>
        <w:rPr>
          <w:sz w:val="27"/>
          <w:szCs w:val="27"/>
          <w:lang w:eastAsia="zh-TW"/>
        </w:rPr>
      </w:pPr>
    </w:p>
    <w:p w14:paraId="672C79D8" w14:textId="77777777" w:rsidR="0067402A" w:rsidRPr="0019570E" w:rsidRDefault="0067402A" w:rsidP="00272DA4">
      <w:pPr>
        <w:pStyle w:val="Corpodeltesto"/>
        <w:jc w:val="both"/>
        <w:rPr>
          <w:sz w:val="27"/>
          <w:szCs w:val="27"/>
          <w:lang w:eastAsia="zh-TW"/>
        </w:rPr>
      </w:pPr>
      <w:r w:rsidRPr="0019570E">
        <w:rPr>
          <w:sz w:val="27"/>
          <w:szCs w:val="27"/>
          <w:lang w:eastAsia="zh-TW"/>
        </w:rPr>
        <w:t xml:space="preserve">         </w:t>
      </w:r>
    </w:p>
    <w:p w14:paraId="304B3F97" w14:textId="77777777" w:rsidR="0067402A" w:rsidRPr="0019570E" w:rsidRDefault="0067402A" w:rsidP="00272DA4">
      <w:pPr>
        <w:pStyle w:val="Corpodeltesto"/>
        <w:jc w:val="both"/>
      </w:pPr>
      <w:r w:rsidRPr="0019570E">
        <w:rPr>
          <w:sz w:val="27"/>
          <w:szCs w:val="27"/>
          <w:lang w:eastAsia="zh-TW"/>
        </w:rPr>
        <w:t xml:space="preserve">          </w:t>
      </w:r>
      <w:r w:rsidRPr="0019570E">
        <w:t>Presentata da:</w:t>
      </w:r>
      <w:r w:rsidRPr="0019570E">
        <w:tab/>
      </w:r>
      <w:r w:rsidRPr="0019570E">
        <w:tab/>
      </w:r>
      <w:r w:rsidRPr="0019570E">
        <w:tab/>
      </w:r>
      <w:r w:rsidRPr="0019570E">
        <w:tab/>
      </w:r>
      <w:r w:rsidRPr="0019570E">
        <w:tab/>
        <w:t xml:space="preserve">                         Relatore:</w:t>
      </w:r>
    </w:p>
    <w:p w14:paraId="51D361D1" w14:textId="77777777" w:rsidR="0067402A" w:rsidRPr="0019570E" w:rsidRDefault="0067402A" w:rsidP="00272DA4">
      <w:pPr>
        <w:jc w:val="both"/>
        <w:rPr>
          <w:b/>
          <w:bCs/>
        </w:rPr>
      </w:pPr>
      <w:r w:rsidRPr="0019570E">
        <w:rPr>
          <w:b/>
          <w:bCs/>
        </w:rPr>
        <w:t xml:space="preserve">        Roberto Marchese</w:t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  <w:t>Prof.ssa Patrizia Rampinelli</w:t>
      </w:r>
    </w:p>
    <w:p w14:paraId="355C6039" w14:textId="77777777" w:rsidR="0067402A" w:rsidRPr="0019570E" w:rsidRDefault="0067402A" w:rsidP="00272DA4">
      <w:pPr>
        <w:jc w:val="both"/>
        <w:rPr>
          <w:b/>
          <w:bCs/>
        </w:rPr>
      </w:pPr>
    </w:p>
    <w:p w14:paraId="33E4479F" w14:textId="77777777" w:rsidR="0067402A" w:rsidRPr="0019570E" w:rsidRDefault="0067402A" w:rsidP="00272DA4">
      <w:pPr>
        <w:pStyle w:val="Corpodeltesto"/>
        <w:ind w:left="708"/>
        <w:jc w:val="both"/>
      </w:pPr>
      <w:r w:rsidRPr="0019570E">
        <w:t>Matricola n°</w:t>
      </w:r>
      <w:r w:rsidRPr="0019570E">
        <w:tab/>
      </w:r>
      <w:r w:rsidRPr="0019570E">
        <w:tab/>
      </w:r>
      <w:r w:rsidRPr="0019570E">
        <w:tab/>
      </w:r>
      <w:r w:rsidRPr="0019570E">
        <w:tab/>
      </w:r>
      <w:r w:rsidRPr="0019570E">
        <w:tab/>
      </w:r>
    </w:p>
    <w:p w14:paraId="579C5B3A" w14:textId="77777777" w:rsidR="0067402A" w:rsidRPr="0019570E" w:rsidRDefault="0067402A" w:rsidP="00272DA4">
      <w:pPr>
        <w:jc w:val="both"/>
        <w:rPr>
          <w:b/>
          <w:bCs/>
        </w:rPr>
      </w:pPr>
      <w:r w:rsidRPr="0019570E">
        <w:rPr>
          <w:b/>
          <w:bCs/>
        </w:rPr>
        <w:t xml:space="preserve">            0000357419</w:t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  <w:r w:rsidRPr="0019570E">
        <w:rPr>
          <w:b/>
          <w:bCs/>
        </w:rPr>
        <w:tab/>
      </w:r>
    </w:p>
    <w:p w14:paraId="2464B051" w14:textId="77777777" w:rsidR="0067402A" w:rsidRPr="0019570E" w:rsidRDefault="0067402A" w:rsidP="00272DA4">
      <w:pPr>
        <w:jc w:val="both"/>
        <w:rPr>
          <w:b/>
          <w:bCs/>
        </w:rPr>
      </w:pPr>
    </w:p>
    <w:p w14:paraId="45CCCAA6" w14:textId="77777777" w:rsidR="0067402A" w:rsidRPr="0019570E" w:rsidRDefault="0067402A" w:rsidP="00272DA4">
      <w:pPr>
        <w:jc w:val="both"/>
        <w:rPr>
          <w:b/>
          <w:bCs/>
        </w:rPr>
      </w:pPr>
    </w:p>
    <w:p w14:paraId="5C87171F" w14:textId="77777777" w:rsidR="0067402A" w:rsidRPr="0019570E" w:rsidRDefault="0067402A" w:rsidP="00272DA4">
      <w:pPr>
        <w:jc w:val="both"/>
        <w:rPr>
          <w:b/>
          <w:bCs/>
        </w:rPr>
      </w:pPr>
    </w:p>
    <w:p w14:paraId="17DE4041" w14:textId="77777777" w:rsidR="0067402A" w:rsidRPr="0019570E" w:rsidRDefault="0067402A" w:rsidP="00630C56">
      <w:pPr>
        <w:pStyle w:val="Titolo6"/>
        <w:jc w:val="center"/>
        <w:rPr>
          <w:rFonts w:ascii="Times New Roman" w:hAnsi="Times New Roman"/>
          <w:b/>
          <w:i w:val="0"/>
          <w:color w:val="auto"/>
        </w:rPr>
      </w:pPr>
      <w:r w:rsidRPr="0019570E">
        <w:rPr>
          <w:rFonts w:ascii="Times New Roman" w:hAnsi="Times New Roman"/>
          <w:b/>
          <w:i w:val="0"/>
          <w:color w:val="auto"/>
        </w:rPr>
        <w:t>Sessione II</w:t>
      </w:r>
    </w:p>
    <w:p w14:paraId="4453B2BD" w14:textId="77777777" w:rsidR="0067402A" w:rsidRPr="0019570E" w:rsidRDefault="0067402A" w:rsidP="00630C56">
      <w:pPr>
        <w:pStyle w:val="Titolo6"/>
        <w:jc w:val="center"/>
        <w:rPr>
          <w:rFonts w:ascii="Times New Roman" w:hAnsi="Times New Roman"/>
          <w:b/>
          <w:bCs/>
          <w:i w:val="0"/>
          <w:color w:val="auto"/>
        </w:rPr>
      </w:pPr>
      <w:r w:rsidRPr="0019570E">
        <w:rPr>
          <w:rFonts w:ascii="Times New Roman" w:hAnsi="Times New Roman"/>
          <w:b/>
          <w:i w:val="0"/>
          <w:color w:val="auto"/>
        </w:rPr>
        <w:t>Anno accademico 2013/2014</w:t>
      </w:r>
    </w:p>
    <w:p w14:paraId="59FCCE2E" w14:textId="77777777" w:rsidR="0067402A" w:rsidRPr="0019570E" w:rsidRDefault="0067402A" w:rsidP="00272DA4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527EAC87" w14:textId="77777777" w:rsidR="0067402A" w:rsidRPr="0019570E" w:rsidRDefault="0067402A" w:rsidP="00272DA4">
      <w:pPr>
        <w:jc w:val="both"/>
      </w:pPr>
    </w:p>
    <w:p w14:paraId="60AD8D82" w14:textId="77777777" w:rsidR="0067402A" w:rsidRDefault="0067402A" w:rsidP="00272DA4">
      <w:pPr>
        <w:spacing w:line="360" w:lineRule="auto"/>
        <w:jc w:val="both"/>
      </w:pPr>
    </w:p>
    <w:p w14:paraId="7D22AF76" w14:textId="77777777" w:rsidR="008E0838" w:rsidRDefault="008E0838" w:rsidP="00272DA4">
      <w:pPr>
        <w:spacing w:line="360" w:lineRule="auto"/>
        <w:jc w:val="both"/>
        <w:rPr>
          <w:u w:val="single"/>
        </w:rPr>
      </w:pPr>
    </w:p>
    <w:p w14:paraId="36B236E8" w14:textId="77777777" w:rsidR="008E0838" w:rsidRDefault="008E0838" w:rsidP="00272DA4">
      <w:pPr>
        <w:spacing w:line="360" w:lineRule="auto"/>
        <w:jc w:val="both"/>
        <w:rPr>
          <w:u w:val="single"/>
        </w:rPr>
      </w:pPr>
    </w:p>
    <w:p w14:paraId="127CDE25" w14:textId="77777777" w:rsidR="008E0838" w:rsidRDefault="008E0838" w:rsidP="00272DA4">
      <w:pPr>
        <w:spacing w:line="360" w:lineRule="auto"/>
        <w:jc w:val="both"/>
        <w:rPr>
          <w:u w:val="single"/>
        </w:rPr>
      </w:pPr>
      <w:r w:rsidRPr="008E0838">
        <w:rPr>
          <w:u w:val="single"/>
        </w:rPr>
        <w:t>Abstract</w:t>
      </w:r>
    </w:p>
    <w:p w14:paraId="6DF131A1" w14:textId="77777777" w:rsidR="008E0838" w:rsidRDefault="008E0838" w:rsidP="00272DA4">
      <w:pPr>
        <w:spacing w:line="360" w:lineRule="auto"/>
        <w:jc w:val="both"/>
        <w:rPr>
          <w:u w:val="single"/>
        </w:rPr>
      </w:pPr>
    </w:p>
    <w:p w14:paraId="7D1AA597" w14:textId="085E5194" w:rsidR="0067402A" w:rsidRPr="002419E1" w:rsidRDefault="0067402A" w:rsidP="00272DA4">
      <w:pPr>
        <w:spacing w:line="360" w:lineRule="auto"/>
        <w:jc w:val="both"/>
      </w:pPr>
      <w:r w:rsidRPr="0019570E">
        <w:t>L’Autorizzazione all’Immissione in Commercio dei Medicinali (AIC) è una delle questioni più salienti nell’ambito de</w:t>
      </w:r>
      <w:r w:rsidR="007F0508">
        <w:t>i</w:t>
      </w:r>
      <w:r w:rsidRPr="0019570E">
        <w:t xml:space="preserve"> </w:t>
      </w:r>
      <w:r w:rsidRPr="0019570E">
        <w:rPr>
          <w:i/>
        </w:rPr>
        <w:t xml:space="preserve">Regulatory </w:t>
      </w:r>
      <w:r w:rsidR="007F0508">
        <w:rPr>
          <w:i/>
        </w:rPr>
        <w:t>Affaires.</w:t>
      </w:r>
      <w:bookmarkStart w:id="0" w:name="_GoBack"/>
      <w:bookmarkEnd w:id="0"/>
    </w:p>
    <w:p w14:paraId="024F8B3E" w14:textId="77777777" w:rsidR="0067402A" w:rsidRPr="0019570E" w:rsidRDefault="0067402A" w:rsidP="00272DA4">
      <w:pPr>
        <w:spacing w:line="360" w:lineRule="auto"/>
        <w:jc w:val="both"/>
      </w:pPr>
      <w:r w:rsidRPr="0019570E">
        <w:t xml:space="preserve">Il rilascio dell’AIC, da parte degli organi competenti, e la regolamentazione in generale, che  consente produzione, distribuzione, commercializzazione e </w:t>
      </w:r>
      <w:r>
        <w:t>dispensazione</w:t>
      </w:r>
      <w:r w:rsidRPr="0019570E">
        <w:t xml:space="preserve"> del medicinale, deve tenere conto della necessità non solo di adeguarsi ai progressi tecnologico-scientifici ma di raggiungere gradualmente un’armonizzazione delle varie procedure nazionali, in un’ottica di globalizzazione. </w:t>
      </w:r>
    </w:p>
    <w:p w14:paraId="409D86E4" w14:textId="77777777" w:rsidR="0067402A" w:rsidRDefault="0067402A" w:rsidP="00272DA4">
      <w:pPr>
        <w:spacing w:line="360" w:lineRule="auto"/>
        <w:jc w:val="both"/>
      </w:pPr>
      <w:r w:rsidRPr="0019570E">
        <w:t xml:space="preserve">Attualmente esistono, da parte degli Enti regolatori, orientamenti differenti </w:t>
      </w:r>
      <w:r>
        <w:t>sul rilascio dell’</w:t>
      </w:r>
      <w:r w:rsidRPr="0019570E">
        <w:t>AIC</w:t>
      </w:r>
      <w:r>
        <w:t xml:space="preserve">. </w:t>
      </w:r>
    </w:p>
    <w:p w14:paraId="764CA99A" w14:textId="6B47D979" w:rsidR="0067402A" w:rsidRPr="0019570E" w:rsidRDefault="00D24D2A" w:rsidP="00272DA4">
      <w:pPr>
        <w:spacing w:line="360" w:lineRule="auto"/>
        <w:jc w:val="both"/>
      </w:pPr>
      <w:r>
        <w:t>L</w:t>
      </w:r>
      <w:r w:rsidR="0067402A">
        <w:t>e</w:t>
      </w:r>
      <w:r w:rsidR="0067402A" w:rsidRPr="0019570E">
        <w:t xml:space="preserve"> due princ</w:t>
      </w:r>
      <w:r>
        <w:t>ipali Autorità</w:t>
      </w:r>
      <w:r w:rsidR="0067402A">
        <w:t xml:space="preserve"> sulle</w:t>
      </w:r>
      <w:r w:rsidR="0067402A" w:rsidRPr="0019570E">
        <w:t xml:space="preserve"> quali </w:t>
      </w:r>
      <w:r w:rsidR="0067402A">
        <w:t>sono stati focalizzati</w:t>
      </w:r>
      <w:r w:rsidR="0067402A" w:rsidRPr="0019570E">
        <w:t xml:space="preserve"> gli interessi di</w:t>
      </w:r>
      <w:r w:rsidR="0067402A">
        <w:t xml:space="preserve"> ricerca, sono la </w:t>
      </w:r>
      <w:r w:rsidR="0067402A" w:rsidRPr="0019570E">
        <w:t>Food and Drug Administration</w:t>
      </w:r>
      <w:r w:rsidR="0067402A">
        <w:t xml:space="preserve"> (FDA</w:t>
      </w:r>
      <w:r w:rsidR="0067402A" w:rsidRPr="0019570E">
        <w:t xml:space="preserve">) e </w:t>
      </w:r>
      <w:r w:rsidR="0067402A">
        <w:t>l’Agenzia Europea dei Medicinali (EMA)</w:t>
      </w:r>
      <w:r w:rsidR="0067402A" w:rsidRPr="0019570E">
        <w:t>.</w:t>
      </w:r>
    </w:p>
    <w:p w14:paraId="76136271" w14:textId="1E793D89" w:rsidR="0067402A" w:rsidRDefault="00D24D2A" w:rsidP="00272DA4">
      <w:pPr>
        <w:spacing w:line="360" w:lineRule="auto"/>
        <w:jc w:val="both"/>
      </w:pPr>
      <w:r>
        <w:t xml:space="preserve">Lo scopo </w:t>
      </w:r>
      <w:r w:rsidR="0067402A" w:rsidRPr="0019570E">
        <w:t xml:space="preserve">di ricerca è </w:t>
      </w:r>
      <w:r>
        <w:t xml:space="preserve">quindi </w:t>
      </w:r>
      <w:r w:rsidR="0067402A" w:rsidRPr="0019570E">
        <w:t xml:space="preserve">incentrato sull’analisi delle </w:t>
      </w:r>
      <w:r w:rsidR="0067402A">
        <w:t xml:space="preserve">discrepanze, </w:t>
      </w:r>
      <w:r w:rsidR="0067402A" w:rsidRPr="0019570E">
        <w:t xml:space="preserve">esistenti nei processi decisionali che riguardano </w:t>
      </w:r>
      <w:r w:rsidR="0067402A">
        <w:t xml:space="preserve">il rilascio </w:t>
      </w:r>
      <w:r>
        <w:t>dell’AIC/NDA.</w:t>
      </w:r>
    </w:p>
    <w:p w14:paraId="60B47FA9" w14:textId="14D102D3" w:rsidR="0067402A" w:rsidRPr="0019570E" w:rsidRDefault="0067402A" w:rsidP="00272DA4">
      <w:pPr>
        <w:spacing w:line="360" w:lineRule="auto"/>
        <w:jc w:val="both"/>
      </w:pPr>
      <w:r w:rsidRPr="0019570E">
        <w:t>Poniamo come punto di par</w:t>
      </w:r>
      <w:r>
        <w:t>tenza l’analisi di due farmaci, i quali</w:t>
      </w:r>
      <w:r w:rsidRPr="0019570E">
        <w:t xml:space="preserve"> sono stati indubbiamente emblematici e rappresentativi n</w:t>
      </w:r>
      <w:r w:rsidR="00D24D2A">
        <w:t xml:space="preserve">el dimostrare che </w:t>
      </w:r>
      <w:r w:rsidRPr="0019570E">
        <w:t xml:space="preserve">esistono ancora sostanziali differenze </w:t>
      </w:r>
      <w:r w:rsidR="0036626B">
        <w:t>nelle procedure che portano al rilascio dell’AIC</w:t>
      </w:r>
      <w:r w:rsidRPr="0019570E">
        <w:t xml:space="preserve"> in un paese piuttosto che in un altro.</w:t>
      </w:r>
    </w:p>
    <w:p w14:paraId="079264EB" w14:textId="2BEBA8AD" w:rsidR="0067402A" w:rsidRPr="0019570E" w:rsidRDefault="00D24D2A" w:rsidP="00272DA4">
      <w:pPr>
        <w:spacing w:line="360" w:lineRule="auto"/>
        <w:jc w:val="both"/>
      </w:pPr>
      <w:r>
        <w:t>Dalle</w:t>
      </w:r>
      <w:r w:rsidR="0036626B">
        <w:t xml:space="preserve"> incongruenze</w:t>
      </w:r>
      <w:r w:rsidR="0067402A" w:rsidRPr="0019570E">
        <w:t xml:space="preserve"> dei processi decisionali </w:t>
      </w:r>
      <w:r>
        <w:t xml:space="preserve">si desume </w:t>
      </w:r>
      <w:r w:rsidR="0067402A" w:rsidRPr="0019570E">
        <w:t xml:space="preserve">un dispendio </w:t>
      </w:r>
      <w:r>
        <w:t xml:space="preserve">di risorse nella duplicazione delle prove cliniche; </w:t>
      </w:r>
      <w:r w:rsidR="0067402A" w:rsidRPr="0019570E">
        <w:t xml:space="preserve">uno stesso </w:t>
      </w:r>
      <w:r w:rsidR="0067402A" w:rsidRPr="0019570E">
        <w:rPr>
          <w:i/>
        </w:rPr>
        <w:t>clinical trial</w:t>
      </w:r>
      <w:r w:rsidR="0067402A" w:rsidRPr="0019570E">
        <w:t xml:space="preserve"> viene </w:t>
      </w:r>
      <w:r>
        <w:t xml:space="preserve">infatti </w:t>
      </w:r>
      <w:r w:rsidR="0036626B">
        <w:t xml:space="preserve">svolto parallelamente </w:t>
      </w:r>
      <w:r w:rsidR="0067402A" w:rsidRPr="0019570E">
        <w:t xml:space="preserve">in continenti </w:t>
      </w:r>
      <w:r w:rsidR="00FA6549">
        <w:t>diversi.</w:t>
      </w:r>
    </w:p>
    <w:p w14:paraId="16363BC7" w14:textId="3DD92A76" w:rsidR="0067402A" w:rsidRPr="005E53A8" w:rsidRDefault="0067402A" w:rsidP="00272DA4">
      <w:pPr>
        <w:pStyle w:val="NormaleWeb"/>
        <w:spacing w:before="0" w:beforeAutospacing="0" w:after="0" w:afterAutospacing="0" w:line="360" w:lineRule="auto"/>
        <w:jc w:val="both"/>
      </w:pPr>
      <w:r w:rsidRPr="005E53A8">
        <w:t>Il con</w:t>
      </w:r>
      <w:r w:rsidR="00D24D2A">
        <w:t xml:space="preserve">fronto fra Europa (EMA) e </w:t>
      </w:r>
      <w:r w:rsidRPr="005E53A8">
        <w:t xml:space="preserve">Stati Uniti (FDA) è incentrato sull’approvazione del </w:t>
      </w:r>
      <w:r w:rsidRPr="005E53A8">
        <w:rPr>
          <w:i/>
        </w:rPr>
        <w:t>Mylotarg</w:t>
      </w:r>
      <w:r w:rsidRPr="005E53A8">
        <w:t xml:space="preserve">, un anticorpo umanizzato ricombinante </w:t>
      </w:r>
      <w:r>
        <w:t>che contiene</w:t>
      </w:r>
      <w:r w:rsidRPr="005E53A8">
        <w:t xml:space="preserve"> il </w:t>
      </w:r>
      <w:r>
        <w:t xml:space="preserve">principio attivo </w:t>
      </w:r>
      <w:r w:rsidRPr="005E53A8">
        <w:rPr>
          <w:rFonts w:eastAsiaTheme="minorEastAsia"/>
          <w:color w:val="000000" w:themeColor="text1"/>
          <w:kern w:val="24"/>
        </w:rPr>
        <w:t>Gemtuzumab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5E53A8">
        <w:rPr>
          <w:rFonts w:eastAsiaTheme="minorEastAsia"/>
          <w:color w:val="000000" w:themeColor="text1"/>
          <w:kern w:val="24"/>
        </w:rPr>
        <w:t>Ozogamicin</w:t>
      </w:r>
      <w:r w:rsidR="00D24D2A">
        <w:t>, e de</w:t>
      </w:r>
      <w:r w:rsidRPr="005E53A8">
        <w:t xml:space="preserve">l </w:t>
      </w:r>
      <w:r w:rsidRPr="005E53A8">
        <w:rPr>
          <w:i/>
        </w:rPr>
        <w:t>Thelin</w:t>
      </w:r>
      <w:r w:rsidRPr="005E53A8">
        <w:t xml:space="preserve">, un vasodilatatore </w:t>
      </w:r>
      <w:r>
        <w:t xml:space="preserve">contenente il principio attivo </w:t>
      </w:r>
      <w:r w:rsidRPr="005E53A8">
        <w:t>Sitaxentan Sodico</w:t>
      </w:r>
      <w:r>
        <w:t>.</w:t>
      </w:r>
    </w:p>
    <w:p w14:paraId="4A7224BC" w14:textId="291E3CB6" w:rsidR="0067402A" w:rsidRPr="0019570E" w:rsidRDefault="0067402A" w:rsidP="00272DA4">
      <w:pPr>
        <w:spacing w:line="360" w:lineRule="auto"/>
        <w:jc w:val="both"/>
        <w:rPr>
          <w:rFonts w:eastAsia="PMingLiU"/>
          <w:bCs/>
          <w:lang w:eastAsia="zh-TW"/>
        </w:rPr>
      </w:pPr>
      <w:r w:rsidRPr="005E53A8">
        <w:t>I benefici e i rischi di</w:t>
      </w:r>
      <w:r>
        <w:t xml:space="preserve"> questi </w:t>
      </w:r>
      <w:r w:rsidR="00FA6549">
        <w:t xml:space="preserve">due </w:t>
      </w:r>
      <w:r w:rsidR="00D24D2A">
        <w:t xml:space="preserve">farmaci rappresentativi </w:t>
      </w:r>
      <w:r w:rsidRPr="005E53A8">
        <w:t>non erano facili da delineare con precisione o sicurezza finché non sono</w:t>
      </w:r>
      <w:r w:rsidR="00FA6549">
        <w:t xml:space="preserve"> stati</w:t>
      </w:r>
      <w:r w:rsidRPr="005E53A8">
        <w:t xml:space="preserve"> resi disponibili</w:t>
      </w:r>
      <w:r w:rsidR="00FA6549">
        <w:t xml:space="preserve"> </w:t>
      </w:r>
      <w:r w:rsidR="00FA6549" w:rsidRPr="005E53A8">
        <w:t>i dati aggiuntivi</w:t>
      </w:r>
      <w:r w:rsidR="00145276">
        <w:t>,</w:t>
      </w:r>
      <w:r w:rsidRPr="005E53A8">
        <w:t xml:space="preserve"> </w:t>
      </w:r>
      <w:r w:rsidR="00FA6549">
        <w:t xml:space="preserve">ottenuti </w:t>
      </w:r>
      <w:r w:rsidRPr="005E53A8">
        <w:t>in</w:t>
      </w:r>
      <w:r w:rsidR="00FA6549">
        <w:t xml:space="preserve"> fase</w:t>
      </w:r>
      <w:r w:rsidRPr="005E53A8">
        <w:t xml:space="preserve"> post-marketing, che ha</w:t>
      </w:r>
      <w:r w:rsidR="00FA6549">
        <w:t>nno</w:t>
      </w:r>
      <w:r w:rsidRPr="0019570E">
        <w:t xml:space="preserve"> dato l’opportunità di esaminare </w:t>
      </w:r>
      <w:r w:rsidR="00FA6549">
        <w:t>il criterio utilizzato dall’autorità regolatoria</w:t>
      </w:r>
      <w:r w:rsidRPr="0019570E">
        <w:t>,</w:t>
      </w:r>
      <w:r w:rsidR="00FA6549">
        <w:t xml:space="preserve"> nella fase decisionale</w:t>
      </w:r>
      <w:r w:rsidRPr="0019570E">
        <w:t>.</w:t>
      </w:r>
    </w:p>
    <w:p w14:paraId="17F82587" w14:textId="2A4260DF" w:rsidR="0067402A" w:rsidRPr="0019570E" w:rsidRDefault="00145276" w:rsidP="00272DA4">
      <w:pPr>
        <w:spacing w:line="360" w:lineRule="auto"/>
        <w:jc w:val="both"/>
      </w:pPr>
      <w:r>
        <w:t>D</w:t>
      </w:r>
      <w:r w:rsidR="0067402A" w:rsidRPr="0019570E">
        <w:t xml:space="preserve">alle ricerche condotte è effettivamente emerso </w:t>
      </w:r>
      <w:r w:rsidR="0067402A">
        <w:t>che</w:t>
      </w:r>
      <w:r>
        <w:t xml:space="preserve"> </w:t>
      </w:r>
      <w:r w:rsidR="0067402A">
        <w:t>FDA e</w:t>
      </w:r>
      <w:r>
        <w:t>d</w:t>
      </w:r>
      <w:r w:rsidR="0067402A">
        <w:t xml:space="preserve"> EMA</w:t>
      </w:r>
      <w:r w:rsidR="0067402A" w:rsidRPr="0019570E">
        <w:t xml:space="preserve">, non sono sempre concordi sull’interpretazione dei dati </w:t>
      </w:r>
      <w:r>
        <w:t xml:space="preserve">sulla </w:t>
      </w:r>
      <w:r w:rsidR="0067402A" w:rsidRPr="0019570E">
        <w:t xml:space="preserve">sicurezza e </w:t>
      </w:r>
      <w:r>
        <w:t>sull’</w:t>
      </w:r>
      <w:r w:rsidR="0067402A" w:rsidRPr="0019570E">
        <w:t>efficacia di un medicinale.</w:t>
      </w:r>
    </w:p>
    <w:p w14:paraId="25C46EBB" w14:textId="009E87D8" w:rsidR="0067402A" w:rsidRPr="0019570E" w:rsidRDefault="0067402A" w:rsidP="00272DA4">
      <w:pPr>
        <w:spacing w:line="360" w:lineRule="auto"/>
        <w:jc w:val="both"/>
      </w:pPr>
      <w:r w:rsidRPr="0019570E">
        <w:t>Sono emerse differenze tr</w:t>
      </w:r>
      <w:r>
        <w:t xml:space="preserve">a le due agenzie </w:t>
      </w:r>
      <w:r w:rsidR="002A73E9">
        <w:t xml:space="preserve">in relazione alle proprie disposizioni regolamentari </w:t>
      </w:r>
      <w:r w:rsidR="00624AC3">
        <w:t>(</w:t>
      </w:r>
      <w:r w:rsidR="00624AC3" w:rsidRPr="00624AC3">
        <w:rPr>
          <w:i/>
        </w:rPr>
        <w:t>Abbreviated Application</w:t>
      </w:r>
      <w:r w:rsidR="00624AC3">
        <w:t xml:space="preserve"> – ANDA)</w:t>
      </w:r>
      <w:r w:rsidR="005F4AF0">
        <w:t xml:space="preserve"> </w:t>
      </w:r>
      <w:r w:rsidR="00624AC3">
        <w:t xml:space="preserve">e/o </w:t>
      </w:r>
      <w:r w:rsidR="002A73E9">
        <w:t xml:space="preserve">presenza di </w:t>
      </w:r>
      <w:r w:rsidRPr="0019570E">
        <w:t>requisiti</w:t>
      </w:r>
      <w:r w:rsidR="002A73E9">
        <w:t xml:space="preserve"> specifici </w:t>
      </w:r>
      <w:r w:rsidR="005F4AF0">
        <w:t>(</w:t>
      </w:r>
      <w:r w:rsidR="002A73E9">
        <w:t>per es.</w:t>
      </w:r>
      <w:r w:rsidR="005F4AF0">
        <w:t xml:space="preserve"> </w:t>
      </w:r>
      <w:r w:rsidR="005F4AF0" w:rsidRPr="005F4AF0">
        <w:rPr>
          <w:i/>
        </w:rPr>
        <w:t xml:space="preserve">Six Minutes Walking </w:t>
      </w:r>
      <w:r w:rsidR="005F4AF0">
        <w:rPr>
          <w:i/>
        </w:rPr>
        <w:t>T</w:t>
      </w:r>
      <w:r w:rsidR="005F4AF0" w:rsidRPr="005F4AF0">
        <w:rPr>
          <w:i/>
        </w:rPr>
        <w:t>est</w:t>
      </w:r>
      <w:r w:rsidR="002A73E9" w:rsidRPr="005F4AF0">
        <w:rPr>
          <w:i/>
        </w:rPr>
        <w:t xml:space="preserve"> </w:t>
      </w:r>
      <w:r w:rsidR="005F4AF0">
        <w:rPr>
          <w:i/>
        </w:rPr>
        <w:t>-</w:t>
      </w:r>
      <w:r w:rsidR="00624AC3">
        <w:t xml:space="preserve"> </w:t>
      </w:r>
      <w:r w:rsidR="002A73E9" w:rsidRPr="00624AC3">
        <w:rPr>
          <w:i/>
        </w:rPr>
        <w:t>SMWT</w:t>
      </w:r>
      <w:r w:rsidR="005F4AF0" w:rsidRPr="005F4AF0">
        <w:t>)</w:t>
      </w:r>
      <w:r w:rsidR="002A73E9" w:rsidRPr="005F4AF0">
        <w:t xml:space="preserve"> </w:t>
      </w:r>
    </w:p>
    <w:p w14:paraId="7BD8C8BB" w14:textId="4C56A874" w:rsidR="0067402A" w:rsidRPr="004F0304" w:rsidRDefault="00355180" w:rsidP="00272DA4">
      <w:pPr>
        <w:spacing w:line="360" w:lineRule="auto"/>
        <w:jc w:val="both"/>
        <w:rPr>
          <w:b/>
        </w:rPr>
      </w:pPr>
      <w:r>
        <w:lastRenderedPageBreak/>
        <w:t xml:space="preserve">In altro </w:t>
      </w:r>
      <w:r w:rsidR="0067402A">
        <w:t>studio</w:t>
      </w:r>
      <w:r>
        <w:t>, dati sperimentali relativi a</w:t>
      </w:r>
      <w:r w:rsidR="0067402A">
        <w:t xml:space="preserve"> r</w:t>
      </w:r>
      <w:r w:rsidR="0067402A" w:rsidRPr="0019570E">
        <w:t>adiofarmaci approvati negli Stati Uniti e in Giappone</w:t>
      </w:r>
      <w:r>
        <w:t>,</w:t>
      </w:r>
      <w:r w:rsidR="0067402A" w:rsidRPr="0019570E">
        <w:t xml:space="preserve"> sono stati utilizzati per </w:t>
      </w:r>
      <w:r>
        <w:t>valutare i criteri utilizzati</w:t>
      </w:r>
      <w:r w:rsidR="00C869DF">
        <w:t xml:space="preserve"> in</w:t>
      </w:r>
      <w:r>
        <w:t xml:space="preserve"> </w:t>
      </w:r>
      <w:r w:rsidR="0067402A" w:rsidRPr="0019570E">
        <w:t>ciascun paese</w:t>
      </w:r>
      <w:r w:rsidR="00C869DF">
        <w:t xml:space="preserve"> nel rilascio dell’AIC</w:t>
      </w:r>
      <w:r w:rsidR="0067402A" w:rsidRPr="0019570E">
        <w:t xml:space="preserve">, analizzando analogie e </w:t>
      </w:r>
      <w:r w:rsidR="0067402A" w:rsidRPr="004F0304">
        <w:t>differenze</w:t>
      </w:r>
      <w:r w:rsidR="00C869DF">
        <w:t>.</w:t>
      </w:r>
      <w:r w:rsidR="0067402A" w:rsidRPr="004F0304">
        <w:t xml:space="preserve"> </w:t>
      </w:r>
    </w:p>
    <w:p w14:paraId="69C2CF54" w14:textId="6F70A257" w:rsidR="00EE3591" w:rsidRPr="004F0304" w:rsidRDefault="0067402A" w:rsidP="00272DA4">
      <w:pPr>
        <w:spacing w:line="360" w:lineRule="auto"/>
        <w:jc w:val="both"/>
        <w:rPr>
          <w:b/>
          <w:color w:val="000000"/>
        </w:rPr>
      </w:pPr>
      <w:r w:rsidRPr="004F0304">
        <w:rPr>
          <w:color w:val="000000"/>
        </w:rPr>
        <w:t>Da qui è emerso che</w:t>
      </w:r>
      <w:r w:rsidR="00EE3591">
        <w:rPr>
          <w:color w:val="000000"/>
        </w:rPr>
        <w:t xml:space="preserve"> benché</w:t>
      </w:r>
      <w:r w:rsidRPr="004F0304">
        <w:rPr>
          <w:color w:val="000000"/>
        </w:rPr>
        <w:t xml:space="preserve"> la metodologia di valutazione clinica dei radiofarmaci sia ancora in via di sviluppo,</w:t>
      </w:r>
      <w:r w:rsidR="00EE3591">
        <w:rPr>
          <w:color w:val="000000"/>
        </w:rPr>
        <w:t xml:space="preserve"> essa diverrà </w:t>
      </w:r>
      <w:r w:rsidR="00EE3591" w:rsidRPr="004F0304">
        <w:rPr>
          <w:color w:val="000000"/>
        </w:rPr>
        <w:t xml:space="preserve">importante </w:t>
      </w:r>
      <w:r w:rsidR="00D24D2A">
        <w:rPr>
          <w:color w:val="000000"/>
        </w:rPr>
        <w:t>ai fini di un’</w:t>
      </w:r>
      <w:r w:rsidR="00EE3591" w:rsidRPr="004F0304">
        <w:rPr>
          <w:color w:val="000000"/>
        </w:rPr>
        <w:t>armonizzazione internazionale dei sistemi di regola</w:t>
      </w:r>
      <w:r w:rsidR="00EE3591">
        <w:rPr>
          <w:color w:val="000000"/>
        </w:rPr>
        <w:t xml:space="preserve">mentazione e di </w:t>
      </w:r>
      <w:r w:rsidR="00EE3591" w:rsidRPr="004F0304">
        <w:rPr>
          <w:color w:val="000000"/>
        </w:rPr>
        <w:t>controll</w:t>
      </w:r>
      <w:r w:rsidR="00EE3591">
        <w:rPr>
          <w:color w:val="000000"/>
        </w:rPr>
        <w:t>o</w:t>
      </w:r>
      <w:r w:rsidR="00EE3591" w:rsidRPr="004F0304">
        <w:rPr>
          <w:color w:val="000000"/>
        </w:rPr>
        <w:t xml:space="preserve"> della </w:t>
      </w:r>
      <w:r w:rsidR="005049B4">
        <w:rPr>
          <w:color w:val="000000"/>
        </w:rPr>
        <w:t xml:space="preserve">loro </w:t>
      </w:r>
      <w:r w:rsidR="00EE3591" w:rsidRPr="004F0304">
        <w:rPr>
          <w:color w:val="000000"/>
        </w:rPr>
        <w:t>produzione</w:t>
      </w:r>
      <w:r w:rsidR="00D24D2A">
        <w:rPr>
          <w:color w:val="000000"/>
        </w:rPr>
        <w:t xml:space="preserve">, </w:t>
      </w:r>
      <w:r w:rsidR="00A84329">
        <w:rPr>
          <w:color w:val="000000"/>
        </w:rPr>
        <w:t>per il successivo utilizzo nella</w:t>
      </w:r>
      <w:r w:rsidR="00EE3591" w:rsidRPr="004F0304">
        <w:rPr>
          <w:color w:val="000000"/>
        </w:rPr>
        <w:t xml:space="preserve"> tomografia ad emissione di positroni (PET)</w:t>
      </w:r>
      <w:r w:rsidR="00A84329">
        <w:rPr>
          <w:color w:val="000000"/>
        </w:rPr>
        <w:t>.</w:t>
      </w:r>
    </w:p>
    <w:p w14:paraId="64BF952F" w14:textId="59CBDC00" w:rsidR="0067402A" w:rsidRPr="004F0304" w:rsidRDefault="00A84329" w:rsidP="00272DA4">
      <w:pPr>
        <w:pStyle w:val="Default"/>
        <w:spacing w:line="360" w:lineRule="auto"/>
        <w:jc w:val="both"/>
        <w:rPr>
          <w:b/>
        </w:rPr>
      </w:pPr>
      <w:r w:rsidRPr="00A84329">
        <w:rPr>
          <w:rFonts w:ascii="Times New Roman" w:hAnsi="Times New Roman" w:cs="Times New Roman"/>
          <w:color w:val="auto"/>
        </w:rPr>
        <w:t xml:space="preserve">La </w:t>
      </w:r>
      <w:r w:rsidRPr="00A84329">
        <w:rPr>
          <w:rFonts w:ascii="Times New Roman" w:hAnsi="Times New Roman" w:cs="Times New Roman"/>
          <w:i/>
          <w:color w:val="auto"/>
        </w:rPr>
        <w:t>“</w:t>
      </w:r>
      <w:r w:rsidRPr="00A84329">
        <w:rPr>
          <w:rFonts w:ascii="Times New Roman" w:hAnsi="Times New Roman" w:cs="Times New Roman"/>
          <w:bCs/>
          <w:i/>
        </w:rPr>
        <w:t>Conferenza Internazionale per l'Armonizzazione dei requisiti tecnici per la registrazione dei farmaci ad uso umano”</w:t>
      </w:r>
      <w:r w:rsidRPr="00A84329">
        <w:rPr>
          <w:rFonts w:ascii="Times New Roman" w:hAnsi="Times New Roman" w:cs="Times New Roman"/>
        </w:rPr>
        <w:t xml:space="preserve"> (ICH)</w:t>
      </w:r>
      <w:r>
        <w:rPr>
          <w:rFonts w:ascii="Times New Roman" w:hAnsi="Times New Roman" w:cs="Times New Roman"/>
        </w:rPr>
        <w:t xml:space="preserve"> è un </w:t>
      </w:r>
      <w:r w:rsidR="0067402A" w:rsidRPr="004F0304">
        <w:rPr>
          <w:rFonts w:ascii="Times New Roman" w:hAnsi="Times New Roman" w:cs="Times New Roman"/>
          <w:color w:val="auto"/>
        </w:rPr>
        <w:t xml:space="preserve">programma che </w:t>
      </w:r>
      <w:r>
        <w:rPr>
          <w:rFonts w:ascii="Times New Roman" w:hAnsi="Times New Roman" w:cs="Times New Roman"/>
          <w:color w:val="auto"/>
        </w:rPr>
        <w:t>permette un’interazione tra le A</w:t>
      </w:r>
      <w:r w:rsidR="0067402A" w:rsidRPr="004F0304">
        <w:rPr>
          <w:rFonts w:ascii="Times New Roman" w:hAnsi="Times New Roman" w:cs="Times New Roman"/>
          <w:color w:val="auto"/>
        </w:rPr>
        <w:t xml:space="preserve">utorità che si occupano degli aspetti tecnici e scientifici </w:t>
      </w:r>
      <w:r>
        <w:rPr>
          <w:rFonts w:ascii="Times New Roman" w:hAnsi="Times New Roman" w:cs="Times New Roman"/>
          <w:color w:val="auto"/>
        </w:rPr>
        <w:t xml:space="preserve">relativi alla </w:t>
      </w:r>
      <w:r w:rsidR="0067402A" w:rsidRPr="004F0304">
        <w:rPr>
          <w:rFonts w:ascii="Times New Roman" w:hAnsi="Times New Roman" w:cs="Times New Roman"/>
          <w:color w:val="auto"/>
        </w:rPr>
        <w:t>registrazione dei prodotti farmaceutici in </w:t>
      </w:r>
      <w:hyperlink r:id="rId5" w:tooltip="Europa" w:history="1">
        <w:r w:rsidR="0067402A" w:rsidRPr="004F0304">
          <w:rPr>
            <w:rFonts w:ascii="Times New Roman" w:hAnsi="Times New Roman" w:cs="Times New Roman"/>
            <w:color w:val="auto"/>
          </w:rPr>
          <w:t>Europa</w:t>
        </w:r>
      </w:hyperlink>
      <w:r w:rsidR="0067402A" w:rsidRPr="004F0304">
        <w:rPr>
          <w:rFonts w:ascii="Times New Roman" w:hAnsi="Times New Roman" w:cs="Times New Roman"/>
          <w:color w:val="auto"/>
        </w:rPr>
        <w:t xml:space="preserve">, negli Stati Uniti e in </w:t>
      </w:r>
      <w:hyperlink r:id="rId6" w:tooltip="Giappone" w:history="1">
        <w:r w:rsidR="0067402A" w:rsidRPr="004F0304">
          <w:rPr>
            <w:rFonts w:ascii="Times New Roman" w:hAnsi="Times New Roman" w:cs="Times New Roman"/>
            <w:color w:val="auto"/>
          </w:rPr>
          <w:t>Giappone</w:t>
        </w:r>
      </w:hyperlink>
      <w:r>
        <w:rPr>
          <w:rFonts w:ascii="Times New Roman" w:hAnsi="Times New Roman" w:cs="Times New Roman"/>
          <w:color w:val="auto"/>
        </w:rPr>
        <w:t>.</w:t>
      </w:r>
      <w:r w:rsidR="0067402A" w:rsidRPr="004F0304">
        <w:rPr>
          <w:rFonts w:ascii="Times New Roman" w:hAnsi="Times New Roman" w:cs="Times New Roman"/>
          <w:color w:val="auto"/>
        </w:rPr>
        <w:t xml:space="preserve"> </w:t>
      </w:r>
    </w:p>
    <w:p w14:paraId="24CB1D25" w14:textId="78A5DD06" w:rsidR="0067402A" w:rsidRDefault="0067402A" w:rsidP="00272DA4">
      <w:pPr>
        <w:shd w:val="clear" w:color="auto" w:fill="FFFFFF"/>
        <w:spacing w:before="120" w:after="120" w:line="360" w:lineRule="auto"/>
        <w:jc w:val="both"/>
      </w:pPr>
      <w:r w:rsidRPr="004F0304">
        <w:t>Il fine ultimo della ICH è quello di evitare o diminuire</w:t>
      </w:r>
      <w:r w:rsidRPr="0019570E">
        <w:t xml:space="preserve"> le prove effettuate durante </w:t>
      </w:r>
      <w:hyperlink r:id="rId7" w:tooltip="Ricerca e sviluppo" w:history="1">
        <w:r w:rsidRPr="0019570E">
          <w:t>la ricerca e lo sviluppo</w:t>
        </w:r>
      </w:hyperlink>
      <w:r w:rsidRPr="0019570E">
        <w:t> di nuovi farmaci, ponendosi come obiettivo principale, un’armonizza</w:t>
      </w:r>
      <w:r w:rsidR="00D24D2A">
        <w:t>zione sia per quanto riguarda l’</w:t>
      </w:r>
      <w:r w:rsidRPr="0019570E">
        <w:t>applicazione delle linee guida tecniche, che per i requisiti di registrazione del prodotto.</w:t>
      </w:r>
      <w:r w:rsidRPr="0019570E">
        <w:br/>
        <w:t>Questo processo di armonizzazione, secondo quanto pianificato, dovrebbe portare alla realizzazione di punti ben definiti e cioè ad</w:t>
      </w:r>
      <w:r w:rsidR="00272DA4">
        <w:t xml:space="preserve"> un</w:t>
      </w:r>
      <w:r w:rsidRPr="0019570E">
        <w:t xml:space="preserve"> uso meno dispendioso delle risorse umane, animali e materiali e ad un’eliminazione dei ritardi per quanto riguarda la disponibilità di nuovi farmaci. Un altro punto chiave è </w:t>
      </w:r>
      <w:r w:rsidR="00DD7586">
        <w:t xml:space="preserve">salvaguardare </w:t>
      </w:r>
      <w:r w:rsidRPr="0019570E">
        <w:t xml:space="preserve">la salute pubblica </w:t>
      </w:r>
      <w:r w:rsidR="00DD7586">
        <w:t>relativamente alla</w:t>
      </w:r>
      <w:r w:rsidRPr="0019570E">
        <w:t xml:space="preserve"> sicurezza, efficacia e qualità del prodotto. </w:t>
      </w:r>
    </w:p>
    <w:p w14:paraId="1F29CB97" w14:textId="10C04D22" w:rsidR="0067402A" w:rsidRPr="0019570E" w:rsidRDefault="0067402A" w:rsidP="00272DA4">
      <w:pPr>
        <w:shd w:val="clear" w:color="auto" w:fill="FFFFFF"/>
        <w:spacing w:before="120" w:after="120" w:line="360" w:lineRule="auto"/>
        <w:jc w:val="both"/>
      </w:pPr>
      <w:r w:rsidRPr="0019570E">
        <w:t>Confrontando</w:t>
      </w:r>
      <w:r w:rsidR="007413C9">
        <w:t xml:space="preserve"> l’attività regolatoria di </w:t>
      </w:r>
      <w:r w:rsidRPr="0019570E">
        <w:t xml:space="preserve">FDA ed EMA, si possono </w:t>
      </w:r>
      <w:r w:rsidR="007413C9">
        <w:t xml:space="preserve">individuare </w:t>
      </w:r>
      <w:r w:rsidRPr="0019570E">
        <w:t>potenziali problemi e vantaggi di ogni</w:t>
      </w:r>
      <w:r w:rsidR="007413C9">
        <w:t xml:space="preserve"> singola</w:t>
      </w:r>
      <w:r w:rsidRPr="0019570E">
        <w:t xml:space="preserve"> agenzia </w:t>
      </w:r>
      <w:r w:rsidR="007413C9">
        <w:t xml:space="preserve">con l’obiettivo di migliorarne </w:t>
      </w:r>
      <w:r w:rsidRPr="0019570E">
        <w:t>le prestazioni.</w:t>
      </w:r>
      <w:r w:rsidR="007413C9">
        <w:t xml:space="preserve"> </w:t>
      </w:r>
      <w:r w:rsidR="008A0A5E">
        <w:t>Partendo quindi dall’analisi delle differenze, n</w:t>
      </w:r>
      <w:r w:rsidR="007413C9">
        <w:t xml:space="preserve">ell’interpretazione dei </w:t>
      </w:r>
      <w:r w:rsidRPr="0019570E">
        <w:t>processi normativi</w:t>
      </w:r>
      <w:r w:rsidR="007413C9">
        <w:t>,</w:t>
      </w:r>
      <w:r w:rsidRPr="0019570E">
        <w:t xml:space="preserve"> </w:t>
      </w:r>
      <w:r w:rsidR="008A0A5E">
        <w:t>sarà possibile ridurre le differenze nel numero delle AIC rilasciate nonché i ritiri dal commercio.</w:t>
      </w:r>
      <w:r w:rsidRPr="0019570E">
        <w:t xml:space="preserve"> </w:t>
      </w:r>
    </w:p>
    <w:p w14:paraId="3EE75448" w14:textId="77777777" w:rsidR="006F4974" w:rsidRDefault="0067402A" w:rsidP="006F4974">
      <w:pPr>
        <w:spacing w:line="360" w:lineRule="auto"/>
        <w:jc w:val="both"/>
      </w:pPr>
      <w:r w:rsidRPr="0019570E">
        <w:t>Il livello di comunicazione tra FDA e</w:t>
      </w:r>
      <w:r w:rsidR="008A0A5E">
        <w:t>d</w:t>
      </w:r>
      <w:r w:rsidRPr="0019570E">
        <w:t xml:space="preserve"> EMA è aumentato notevolmente negli ultimi di</w:t>
      </w:r>
      <w:r>
        <w:t>eci anni</w:t>
      </w:r>
      <w:r w:rsidR="008A0A5E">
        <w:t xml:space="preserve">. </w:t>
      </w:r>
    </w:p>
    <w:p w14:paraId="21742DB5" w14:textId="0DA286E2" w:rsidR="0067402A" w:rsidRPr="0019570E" w:rsidRDefault="008A0A5E" w:rsidP="006F4974">
      <w:pPr>
        <w:spacing w:line="360" w:lineRule="auto"/>
        <w:jc w:val="both"/>
      </w:pPr>
      <w:r>
        <w:t>L</w:t>
      </w:r>
      <w:r w:rsidR="0067402A">
        <w:t>e due Agenzie</w:t>
      </w:r>
      <w:r w:rsidR="0067402A" w:rsidRPr="0019570E">
        <w:t xml:space="preserve"> collabora</w:t>
      </w:r>
      <w:r w:rsidR="00A63AC3">
        <w:t>no</w:t>
      </w:r>
      <w:r w:rsidR="0067402A" w:rsidRPr="0019570E">
        <w:t xml:space="preserve"> </w:t>
      </w:r>
      <w:r w:rsidR="00A63AC3">
        <w:t xml:space="preserve">su diversi livelli </w:t>
      </w:r>
      <w:r w:rsidR="0067402A" w:rsidRPr="0019570E">
        <w:t>per quanto concerne</w:t>
      </w:r>
      <w:r w:rsidR="006F4974">
        <w:t xml:space="preserve"> il rilascio della AIC</w:t>
      </w:r>
      <w:r w:rsidR="0067402A" w:rsidRPr="0019570E">
        <w:t xml:space="preserve">, </w:t>
      </w:r>
      <w:r w:rsidR="006F4974">
        <w:t>adottando ad esempio il CTD (</w:t>
      </w:r>
      <w:r w:rsidR="006F4974" w:rsidRPr="006F4974">
        <w:rPr>
          <w:i/>
        </w:rPr>
        <w:t>Common Technical Document</w:t>
      </w:r>
      <w:r w:rsidR="006F4974">
        <w:t xml:space="preserve">) </w:t>
      </w:r>
      <w:r w:rsidR="0067402A" w:rsidRPr="0019570E">
        <w:t xml:space="preserve">e </w:t>
      </w:r>
      <w:r w:rsidR="006F4974">
        <w:t xml:space="preserve">tenendo </w:t>
      </w:r>
      <w:r w:rsidR="0067402A" w:rsidRPr="0019570E">
        <w:t>riunioni scientifiche congiunte</w:t>
      </w:r>
      <w:r w:rsidR="006F4974">
        <w:t xml:space="preserve"> in teleconferenza</w:t>
      </w:r>
      <w:r w:rsidR="0067402A" w:rsidRPr="0019570E">
        <w:t xml:space="preserve">. </w:t>
      </w:r>
    </w:p>
    <w:p w14:paraId="010A4808" w14:textId="5909D50A" w:rsidR="0067402A" w:rsidRPr="0019570E" w:rsidRDefault="0067402A" w:rsidP="006F4974">
      <w:pPr>
        <w:spacing w:line="360" w:lineRule="auto"/>
        <w:jc w:val="both"/>
      </w:pPr>
      <w:r w:rsidRPr="0019570E">
        <w:t xml:space="preserve">È </w:t>
      </w:r>
      <w:r w:rsidR="006F4974">
        <w:t xml:space="preserve">auspicabile </w:t>
      </w:r>
      <w:r w:rsidRPr="0019570E">
        <w:t xml:space="preserve">che le differenze scientifiche e culturali tra FDA ed EMA </w:t>
      </w:r>
      <w:r w:rsidR="006F4974">
        <w:t xml:space="preserve">si riducano nel tempo a tutto vantaggio dei costi della sperimentazione clinica e delle richieste del pubblico ad un </w:t>
      </w:r>
      <w:r w:rsidR="00451FA9">
        <w:t xml:space="preserve">più </w:t>
      </w:r>
      <w:r w:rsidR="006F4974">
        <w:t>rapido accesso a nuove terapie</w:t>
      </w:r>
      <w:r w:rsidR="00451FA9">
        <w:t>,</w:t>
      </w:r>
      <w:r w:rsidR="006F4974">
        <w:t xml:space="preserve"> </w:t>
      </w:r>
      <w:r w:rsidR="009C0563">
        <w:t>in un contesto di globalizzazione.</w:t>
      </w:r>
    </w:p>
    <w:sectPr w:rsidR="0067402A" w:rsidRPr="00195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2A"/>
    <w:rsid w:val="00145276"/>
    <w:rsid w:val="00272DA4"/>
    <w:rsid w:val="00273581"/>
    <w:rsid w:val="002A73E9"/>
    <w:rsid w:val="00355180"/>
    <w:rsid w:val="0036626B"/>
    <w:rsid w:val="00451FA9"/>
    <w:rsid w:val="005049B4"/>
    <w:rsid w:val="005F4AF0"/>
    <w:rsid w:val="00624AC3"/>
    <w:rsid w:val="00630C56"/>
    <w:rsid w:val="0067402A"/>
    <w:rsid w:val="006D7894"/>
    <w:rsid w:val="006F4974"/>
    <w:rsid w:val="007413C9"/>
    <w:rsid w:val="007F0508"/>
    <w:rsid w:val="00826E5B"/>
    <w:rsid w:val="008A0A5E"/>
    <w:rsid w:val="008E0838"/>
    <w:rsid w:val="009C0563"/>
    <w:rsid w:val="00A63AC3"/>
    <w:rsid w:val="00A84329"/>
    <w:rsid w:val="00C42A19"/>
    <w:rsid w:val="00C70EC3"/>
    <w:rsid w:val="00C869DF"/>
    <w:rsid w:val="00C971E1"/>
    <w:rsid w:val="00D24D2A"/>
    <w:rsid w:val="00DA37E8"/>
    <w:rsid w:val="00DD6AA5"/>
    <w:rsid w:val="00DD7586"/>
    <w:rsid w:val="00ED0A11"/>
    <w:rsid w:val="00EE3591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277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02A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402A"/>
    <w:pPr>
      <w:keepNext/>
      <w:keepLines/>
      <w:spacing w:before="200"/>
      <w:outlineLvl w:val="1"/>
    </w:pPr>
    <w:rPr>
      <w:rFonts w:ascii="Cambria" w:eastAsia="PMingLiU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7402A"/>
    <w:pPr>
      <w:spacing w:before="100" w:beforeAutospacing="1" w:after="100" w:afterAutospacing="1"/>
      <w:outlineLvl w:val="2"/>
    </w:pPr>
    <w:rPr>
      <w:b/>
      <w:bCs/>
      <w:sz w:val="27"/>
      <w:szCs w:val="27"/>
      <w:lang w:eastAsia="zh-TW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7402A"/>
    <w:pPr>
      <w:keepNext/>
      <w:keepLines/>
      <w:spacing w:before="200"/>
      <w:outlineLvl w:val="5"/>
    </w:pPr>
    <w:rPr>
      <w:rFonts w:ascii="Cambria" w:eastAsia="PMingLiU" w:hAnsi="Cambria"/>
      <w:i/>
      <w:iCs/>
      <w:color w:val="243F6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7402A"/>
    <w:rPr>
      <w:rFonts w:ascii="Cambria" w:eastAsia="PMingLiU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67402A"/>
    <w:rPr>
      <w:rFonts w:ascii="Cambria" w:eastAsia="PMingLiU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7402A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67402A"/>
    <w:rPr>
      <w:rFonts w:ascii="Cambria" w:eastAsia="PMingLiU" w:hAnsi="Cambria" w:cs="Times New Roman"/>
      <w:i/>
      <w:iCs/>
      <w:color w:val="243F60"/>
      <w:sz w:val="24"/>
      <w:szCs w:val="24"/>
      <w:lang w:eastAsia="it-IT"/>
    </w:rPr>
  </w:style>
  <w:style w:type="paragraph" w:customStyle="1" w:styleId="Default">
    <w:name w:val="Default"/>
    <w:rsid w:val="0067402A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/>
    </w:rPr>
  </w:style>
  <w:style w:type="paragraph" w:styleId="Corpodeltesto">
    <w:name w:val="Body Text"/>
    <w:basedOn w:val="Normale"/>
    <w:link w:val="CorpodeltestoCarattere"/>
    <w:rsid w:val="0067402A"/>
    <w:rPr>
      <w:b/>
      <w:bCs/>
    </w:rPr>
  </w:style>
  <w:style w:type="character" w:customStyle="1" w:styleId="CorpodeltestoCarattere">
    <w:name w:val="Corpo del testo Carattere"/>
    <w:basedOn w:val="Caratterepredefinitoparagrafo"/>
    <w:link w:val="Corpodeltesto"/>
    <w:rsid w:val="0067402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740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02A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402A"/>
    <w:pPr>
      <w:keepNext/>
      <w:keepLines/>
      <w:spacing w:before="200"/>
      <w:outlineLvl w:val="1"/>
    </w:pPr>
    <w:rPr>
      <w:rFonts w:ascii="Cambria" w:eastAsia="PMingLiU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7402A"/>
    <w:pPr>
      <w:spacing w:before="100" w:beforeAutospacing="1" w:after="100" w:afterAutospacing="1"/>
      <w:outlineLvl w:val="2"/>
    </w:pPr>
    <w:rPr>
      <w:b/>
      <w:bCs/>
      <w:sz w:val="27"/>
      <w:szCs w:val="27"/>
      <w:lang w:eastAsia="zh-TW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7402A"/>
    <w:pPr>
      <w:keepNext/>
      <w:keepLines/>
      <w:spacing w:before="200"/>
      <w:outlineLvl w:val="5"/>
    </w:pPr>
    <w:rPr>
      <w:rFonts w:ascii="Cambria" w:eastAsia="PMingLiU" w:hAnsi="Cambria"/>
      <w:i/>
      <w:iCs/>
      <w:color w:val="243F6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7402A"/>
    <w:rPr>
      <w:rFonts w:ascii="Cambria" w:eastAsia="PMingLiU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67402A"/>
    <w:rPr>
      <w:rFonts w:ascii="Cambria" w:eastAsia="PMingLiU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7402A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67402A"/>
    <w:rPr>
      <w:rFonts w:ascii="Cambria" w:eastAsia="PMingLiU" w:hAnsi="Cambria" w:cs="Times New Roman"/>
      <w:i/>
      <w:iCs/>
      <w:color w:val="243F60"/>
      <w:sz w:val="24"/>
      <w:szCs w:val="24"/>
      <w:lang w:eastAsia="it-IT"/>
    </w:rPr>
  </w:style>
  <w:style w:type="paragraph" w:customStyle="1" w:styleId="Default">
    <w:name w:val="Default"/>
    <w:rsid w:val="0067402A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/>
    </w:rPr>
  </w:style>
  <w:style w:type="paragraph" w:styleId="Corpodeltesto">
    <w:name w:val="Body Text"/>
    <w:basedOn w:val="Normale"/>
    <w:link w:val="CorpodeltestoCarattere"/>
    <w:rsid w:val="0067402A"/>
    <w:rPr>
      <w:b/>
      <w:bCs/>
    </w:rPr>
  </w:style>
  <w:style w:type="character" w:customStyle="1" w:styleId="CorpodeltestoCarattere">
    <w:name w:val="Corpo del testo Carattere"/>
    <w:basedOn w:val="Caratterepredefinitoparagrafo"/>
    <w:link w:val="Corpodeltesto"/>
    <w:rsid w:val="0067402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740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t.wikipedia.org/wiki/Europa" TargetMode="External"/><Relationship Id="rId6" Type="http://schemas.openxmlformats.org/officeDocument/2006/relationships/hyperlink" Target="http://it.wikipedia.org/wiki/Giappone" TargetMode="External"/><Relationship Id="rId7" Type="http://schemas.openxmlformats.org/officeDocument/2006/relationships/hyperlink" Target="http://it.wikipedia.org/wiki/Ricerca_e_svilupp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858</Words>
  <Characters>4896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Marchese</dc:creator>
  <cp:lastModifiedBy>Patrizia Rampinelli</cp:lastModifiedBy>
  <cp:revision>8</cp:revision>
  <dcterms:created xsi:type="dcterms:W3CDTF">2015-12-02T16:20:00Z</dcterms:created>
  <dcterms:modified xsi:type="dcterms:W3CDTF">2016-02-02T13:30:00Z</dcterms:modified>
</cp:coreProperties>
</file>